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B0" w:rsidRDefault="00A20586">
      <w:pPr>
        <w:widowControl w:val="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280988</wp:posOffset>
            </wp:positionH>
            <wp:positionV relativeFrom="page">
              <wp:posOffset>4763</wp:posOffset>
            </wp:positionV>
            <wp:extent cx="7105650" cy="10064741"/>
            <wp:effectExtent l="0" t="0" r="0" b="0"/>
            <wp:wrapTopAndBottom distT="114300" distB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10064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46FB0" w:rsidRDefault="00A20586">
      <w:pPr>
        <w:widowControl w:val="0"/>
        <w:spacing w:line="240" w:lineRule="auto"/>
        <w:rPr>
          <w:b/>
          <w:color w:val="202020"/>
          <w:sz w:val="24"/>
          <w:szCs w:val="24"/>
        </w:rPr>
      </w:pPr>
      <w:r>
        <w:rPr>
          <w:rFonts w:ascii="Calibri" w:eastAsia="Calibri" w:hAnsi="Calibri" w:cs="Calibri"/>
          <w:b/>
          <w:color w:val="202020"/>
          <w:sz w:val="24"/>
          <w:szCs w:val="24"/>
        </w:rPr>
        <w:lastRenderedPageBreak/>
        <w:tab/>
      </w:r>
      <w:r>
        <w:rPr>
          <w:rFonts w:ascii="Calibri" w:eastAsia="Calibri" w:hAnsi="Calibri" w:cs="Calibri"/>
          <w:b/>
          <w:color w:val="202020"/>
          <w:sz w:val="24"/>
          <w:szCs w:val="24"/>
        </w:rPr>
        <w:tab/>
      </w:r>
    </w:p>
    <w:p w:rsidR="00B46FB0" w:rsidRDefault="00A20586">
      <w:pPr>
        <w:widowControl w:val="0"/>
        <w:spacing w:line="240" w:lineRule="auto"/>
        <w:ind w:left="1449"/>
        <w:jc w:val="both"/>
        <w:rPr>
          <w:sz w:val="24"/>
          <w:szCs w:val="24"/>
        </w:rPr>
      </w:pPr>
      <w:r>
        <w:rPr>
          <w:b/>
          <w:color w:val="202020"/>
          <w:sz w:val="24"/>
          <w:szCs w:val="24"/>
        </w:rPr>
        <w:t xml:space="preserve">Call for Applications: The UNFPA Malawi Youth Advisory Panel (M-YAP) </w:t>
      </w:r>
    </w:p>
    <w:p w:rsidR="00B46FB0" w:rsidRDefault="00A20586">
      <w:pPr>
        <w:widowControl w:val="0"/>
        <w:spacing w:before="275" w:line="239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Are you a young Malawian citizen aged between 18 and 24 years, passionate about Sexual Reproductive Health and Rights (SRHR), and eager to make a positive impact on the health and well-being of adolescents and youth in Malawi?</w:t>
      </w:r>
    </w:p>
    <w:p w:rsidR="00B46FB0" w:rsidRDefault="00B46FB0">
      <w:pPr>
        <w:widowControl w:val="0"/>
        <w:spacing w:line="240" w:lineRule="auto"/>
        <w:ind w:left="1440"/>
        <w:rPr>
          <w:sz w:val="24"/>
          <w:szCs w:val="24"/>
        </w:rPr>
      </w:pPr>
    </w:p>
    <w:p w:rsidR="00B46FB0" w:rsidRDefault="00A20586">
      <w:pPr>
        <w:widowControl w:val="0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 United Nations Populatio</w:t>
      </w:r>
      <w:r>
        <w:rPr>
          <w:sz w:val="24"/>
          <w:szCs w:val="24"/>
        </w:rPr>
        <w:t>n Fund (UNFPA) Malawi Country Office is excited to invite dynamic and dedicated young volunteers to join its Youth Advisory Panel (YAP).</w:t>
      </w:r>
    </w:p>
    <w:p w:rsidR="00B46FB0" w:rsidRDefault="00B46FB0">
      <w:pPr>
        <w:widowControl w:val="0"/>
        <w:spacing w:line="240" w:lineRule="auto"/>
        <w:ind w:left="1440"/>
        <w:jc w:val="both"/>
        <w:rPr>
          <w:sz w:val="24"/>
          <w:szCs w:val="24"/>
        </w:rPr>
      </w:pPr>
    </w:p>
    <w:p w:rsidR="00B46FB0" w:rsidRDefault="00A20586">
      <w:pPr>
        <w:widowControl w:val="0"/>
        <w:spacing w:line="240" w:lineRule="auto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About UNFPA Malawi:</w:t>
      </w:r>
    </w:p>
    <w:p w:rsidR="00B46FB0" w:rsidRDefault="00A20586">
      <w:pPr>
        <w:widowControl w:val="0"/>
        <w:spacing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UNFPA is the leading United Nations agency committed to ensuring that the potential of every young</w:t>
      </w:r>
      <w:r>
        <w:rPr>
          <w:sz w:val="24"/>
          <w:szCs w:val="24"/>
        </w:rPr>
        <w:t xml:space="preserve"> person is realized. In pursuit of this mission, UNFPA is aiming to collaborate with a group of motivated young individuals through the Youth Advisory Panel (YAP). This platform will ensure that our programs are attuned to the unique needs of young people,</w:t>
      </w:r>
      <w:r>
        <w:rPr>
          <w:sz w:val="24"/>
          <w:szCs w:val="24"/>
        </w:rPr>
        <w:t xml:space="preserve"> while also offering youth the opportunity to learn, engage in policy development, and contribute to initiatives that impact their lives.</w:t>
      </w:r>
    </w:p>
    <w:p w:rsidR="00B46FB0" w:rsidRDefault="00B46FB0">
      <w:pPr>
        <w:widowControl w:val="0"/>
        <w:spacing w:line="240" w:lineRule="auto"/>
        <w:ind w:left="1440"/>
        <w:jc w:val="both"/>
        <w:rPr>
          <w:sz w:val="24"/>
          <w:szCs w:val="24"/>
        </w:rPr>
      </w:pPr>
    </w:p>
    <w:p w:rsidR="00B46FB0" w:rsidRDefault="00A20586">
      <w:pPr>
        <w:widowControl w:val="0"/>
        <w:spacing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In a country where nearly 80% of the population is below 35 years of age, our programming and development work necess</w:t>
      </w:r>
      <w:r>
        <w:rPr>
          <w:sz w:val="24"/>
          <w:szCs w:val="24"/>
        </w:rPr>
        <w:t>itate placing young people at the forefront of our efforts.</w:t>
      </w:r>
    </w:p>
    <w:p w:rsidR="00B46FB0" w:rsidRDefault="00B46FB0">
      <w:pPr>
        <w:widowControl w:val="0"/>
        <w:spacing w:line="240" w:lineRule="auto"/>
        <w:ind w:left="1440"/>
        <w:jc w:val="both"/>
        <w:rPr>
          <w:sz w:val="24"/>
          <w:szCs w:val="24"/>
        </w:rPr>
      </w:pPr>
    </w:p>
    <w:p w:rsidR="00B46FB0" w:rsidRDefault="00A20586">
      <w:pPr>
        <w:widowControl w:val="0"/>
        <w:spacing w:line="240" w:lineRule="auto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Role of the UNFPA Youth Advisory Panel:</w:t>
      </w:r>
    </w:p>
    <w:p w:rsidR="00B46FB0" w:rsidRDefault="00A20586">
      <w:pPr>
        <w:widowControl w:val="0"/>
        <w:spacing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The UNFPA Youth Advisory Panel serves as a vehicle for young people to exercise their rights, utilizing their age and lived experiences to advance outc</w:t>
      </w:r>
      <w:r>
        <w:rPr>
          <w:sz w:val="24"/>
          <w:szCs w:val="24"/>
        </w:rPr>
        <w:t xml:space="preserve">omes in alignment with the Sustainable Development Goals. It exemplifies </w:t>
      </w:r>
      <w:proofErr w:type="spellStart"/>
      <w:r>
        <w:rPr>
          <w:sz w:val="24"/>
          <w:szCs w:val="24"/>
        </w:rPr>
        <w:t>UNFPA's</w:t>
      </w:r>
      <w:proofErr w:type="spellEnd"/>
      <w:r>
        <w:rPr>
          <w:sz w:val="24"/>
          <w:szCs w:val="24"/>
        </w:rPr>
        <w:t xml:space="preserve"> vision and approach, shifting from working for young people to working in partnership with young people. Through this partnership, we aim to ensure youth-friendly approaches a</w:t>
      </w:r>
      <w:r>
        <w:rPr>
          <w:sz w:val="24"/>
          <w:szCs w:val="24"/>
        </w:rPr>
        <w:t xml:space="preserve">nd actions. </w:t>
      </w:r>
      <w:r>
        <w:rPr>
          <w:b/>
          <w:sz w:val="24"/>
          <w:szCs w:val="24"/>
        </w:rPr>
        <w:t xml:space="preserve">This exciting role to engage in UNFPA programming is on a voluntary basis, and therefore, there will be no remuneration. </w:t>
      </w:r>
    </w:p>
    <w:p w:rsidR="00B46FB0" w:rsidRDefault="00B46FB0">
      <w:pPr>
        <w:widowControl w:val="0"/>
        <w:spacing w:line="240" w:lineRule="auto"/>
        <w:ind w:left="1440"/>
        <w:jc w:val="both"/>
        <w:rPr>
          <w:sz w:val="24"/>
          <w:szCs w:val="24"/>
        </w:rPr>
      </w:pPr>
    </w:p>
    <w:p w:rsidR="00B46FB0" w:rsidRDefault="00A20586">
      <w:pPr>
        <w:widowControl w:val="0"/>
        <w:spacing w:line="240" w:lineRule="auto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Objectives of the Panel:</w:t>
      </w:r>
    </w:p>
    <w:p w:rsidR="00B46FB0" w:rsidRDefault="00B46FB0">
      <w:pPr>
        <w:widowControl w:val="0"/>
        <w:spacing w:line="240" w:lineRule="auto"/>
        <w:ind w:left="1440"/>
        <w:jc w:val="both"/>
        <w:rPr>
          <w:sz w:val="24"/>
          <w:szCs w:val="24"/>
        </w:rPr>
      </w:pPr>
    </w:p>
    <w:p w:rsidR="00B46FB0" w:rsidRDefault="00A20586">
      <w:pPr>
        <w:widowControl w:val="0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>Responsive Programs:</w:t>
      </w:r>
      <w:r>
        <w:rPr>
          <w:sz w:val="24"/>
          <w:szCs w:val="24"/>
        </w:rPr>
        <w:t xml:space="preserve"> Ensure that </w:t>
      </w:r>
      <w:proofErr w:type="spellStart"/>
      <w:r>
        <w:rPr>
          <w:sz w:val="24"/>
          <w:szCs w:val="24"/>
        </w:rPr>
        <w:t>UNFPA’s</w:t>
      </w:r>
      <w:proofErr w:type="spellEnd"/>
      <w:r>
        <w:rPr>
          <w:sz w:val="24"/>
          <w:szCs w:val="24"/>
        </w:rPr>
        <w:t xml:space="preserve"> programs are highly responsive to the unique needs of </w:t>
      </w:r>
      <w:r>
        <w:rPr>
          <w:sz w:val="24"/>
          <w:szCs w:val="24"/>
        </w:rPr>
        <w:t>young people.</w:t>
      </w:r>
    </w:p>
    <w:p w:rsidR="00B46FB0" w:rsidRDefault="00A20586">
      <w:pPr>
        <w:widowControl w:val="0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>Youth Participation:</w:t>
      </w:r>
      <w:r>
        <w:rPr>
          <w:sz w:val="24"/>
          <w:szCs w:val="24"/>
        </w:rPr>
        <w:t xml:space="preserve"> Create a platform for young people to actively engage in policy development, advocacy, and program implementation within the country.</w:t>
      </w:r>
    </w:p>
    <w:p w:rsidR="00B46FB0" w:rsidRDefault="00A20586">
      <w:pPr>
        <w:widowControl w:val="0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Knowledge Exchange: </w:t>
      </w:r>
      <w:r>
        <w:rPr>
          <w:sz w:val="24"/>
          <w:szCs w:val="24"/>
        </w:rPr>
        <w:t>Facilitate the exchange of information, learning, and knowledge sha</w:t>
      </w:r>
      <w:r>
        <w:rPr>
          <w:sz w:val="24"/>
          <w:szCs w:val="24"/>
        </w:rPr>
        <w:t>ring between young participants and experts with a focus on youth engagement and inclusion, SRHR, gender equality and GBV, population, and development.</w:t>
      </w:r>
    </w:p>
    <w:p w:rsidR="00B46FB0" w:rsidRDefault="00A20586">
      <w:pPr>
        <w:widowControl w:val="0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>Policy Guidance:</w:t>
      </w:r>
      <w:r>
        <w:rPr>
          <w:sz w:val="24"/>
          <w:szCs w:val="24"/>
        </w:rPr>
        <w:t xml:space="preserve"> Provide valuable advice to the UNFPA Malawi Country Office on methodologies for enhanci</w:t>
      </w:r>
      <w:r>
        <w:rPr>
          <w:sz w:val="24"/>
          <w:szCs w:val="24"/>
        </w:rPr>
        <w:t>ng youth participation in the development of national policies, programs, and activities within their mandate areas.</w:t>
      </w:r>
    </w:p>
    <w:p w:rsidR="00B46FB0" w:rsidRDefault="00B46FB0">
      <w:pPr>
        <w:widowControl w:val="0"/>
        <w:spacing w:line="240" w:lineRule="auto"/>
        <w:ind w:left="1440"/>
        <w:jc w:val="both"/>
        <w:rPr>
          <w:sz w:val="24"/>
          <w:szCs w:val="24"/>
        </w:rPr>
      </w:pPr>
    </w:p>
    <w:p w:rsidR="00B46FB0" w:rsidRDefault="00A20586">
      <w:pPr>
        <w:widowControl w:val="0"/>
        <w:spacing w:line="24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Specifically, the objectives of the M-YAP will be:</w:t>
      </w:r>
    </w:p>
    <w:p w:rsidR="00B46FB0" w:rsidRDefault="00B46FB0">
      <w:pPr>
        <w:widowControl w:val="0"/>
        <w:spacing w:line="240" w:lineRule="auto"/>
        <w:ind w:left="720" w:firstLine="720"/>
        <w:jc w:val="both"/>
        <w:rPr>
          <w:b/>
          <w:sz w:val="24"/>
          <w:szCs w:val="24"/>
        </w:rPr>
      </w:pPr>
    </w:p>
    <w:p w:rsidR="00B46FB0" w:rsidRDefault="00A20586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ensure that </w:t>
      </w:r>
      <w:proofErr w:type="spellStart"/>
      <w:r>
        <w:rPr>
          <w:sz w:val="24"/>
          <w:szCs w:val="24"/>
        </w:rPr>
        <w:t>UNFPA’s</w:t>
      </w:r>
      <w:proofErr w:type="spellEnd"/>
      <w:r>
        <w:rPr>
          <w:sz w:val="24"/>
          <w:szCs w:val="24"/>
        </w:rPr>
        <w:t xml:space="preserve"> programmes are responsive to the needs of young people </w:t>
      </w:r>
    </w:p>
    <w:p w:rsidR="00B46FB0" w:rsidRDefault="00A20586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 advice to UNFPA, and its partners (government, civils society organizations, academia etc) on youth-related challenges, specially, but not only limited to, sexual and reproductive health and rights and prevention and response </w:t>
      </w:r>
      <w:r>
        <w:rPr>
          <w:sz w:val="24"/>
          <w:szCs w:val="24"/>
        </w:rPr>
        <w:lastRenderedPageBreak/>
        <w:t>to GBV, across differe</w:t>
      </w:r>
      <w:r>
        <w:rPr>
          <w:sz w:val="24"/>
          <w:szCs w:val="24"/>
        </w:rPr>
        <w:t>nt areas of development, from policy and programme design, implementation, monitoring and evaluation, and across development and humanitarian nexus and across sectors</w:t>
      </w:r>
    </w:p>
    <w:p w:rsidR="00B46FB0" w:rsidRDefault="00A20586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Advice the UNFPA Malawi Country Office on emerging issues related to young people sexual </w:t>
      </w:r>
      <w:r>
        <w:rPr>
          <w:sz w:val="24"/>
          <w:szCs w:val="24"/>
        </w:rPr>
        <w:t>and reproductive health and rights, including gender issues, socio cultural practices etc</w:t>
      </w:r>
    </w:p>
    <w:p w:rsidR="00B46FB0" w:rsidRDefault="00A20586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ensure the participation of young people in policy, advocacy and implementation of programmes within the country</w:t>
      </w:r>
    </w:p>
    <w:p w:rsidR="00B46FB0" w:rsidRDefault="00A20586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Identify emerging issues faced by youth, particula</w:t>
      </w:r>
      <w:r>
        <w:rPr>
          <w:sz w:val="24"/>
          <w:szCs w:val="24"/>
        </w:rPr>
        <w:t xml:space="preserve">rly around sexual reproductive health and rights (including gender issues, cultural practices, etc.), and propose innovative ways to advance youth centred strategies for addressing the emerging issues. </w:t>
      </w:r>
    </w:p>
    <w:p w:rsidR="00B46FB0" w:rsidRDefault="00A20586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Facilitate knowledge sharing on major opportunities f</w:t>
      </w:r>
      <w:r>
        <w:rPr>
          <w:sz w:val="24"/>
          <w:szCs w:val="24"/>
        </w:rPr>
        <w:t>or moving the youth development agenda forward</w:t>
      </w:r>
    </w:p>
    <w:p w:rsidR="00B46FB0" w:rsidRDefault="00A20586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Advocate for strengthened policy and programmatic linkages between SRHR and GBV, which will improve coverage, access to, and uptake of both SRHR and GBV services for vulnerable populations. </w:t>
      </w:r>
    </w:p>
    <w:p w:rsidR="00B46FB0" w:rsidRDefault="00A20586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Promote social monitoring towards the advancement of integrated SRHR/GBV.</w:t>
      </w:r>
    </w:p>
    <w:p w:rsidR="00B46FB0" w:rsidRDefault="00A20586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Convey information and messages on critical youth issues (gender equality, SRH, HIV, human rights, climate change) from national to district and community levels as youth advocates.</w:t>
      </w:r>
    </w:p>
    <w:p w:rsidR="00B46FB0" w:rsidRDefault="00B46FB0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:rsidR="00B46FB0" w:rsidRDefault="00B46FB0">
      <w:pPr>
        <w:widowControl w:val="0"/>
        <w:spacing w:line="240" w:lineRule="auto"/>
        <w:ind w:left="1440"/>
        <w:jc w:val="both"/>
        <w:rPr>
          <w:b/>
          <w:sz w:val="24"/>
          <w:szCs w:val="24"/>
        </w:rPr>
      </w:pPr>
    </w:p>
    <w:p w:rsidR="00B46FB0" w:rsidRDefault="00A20586">
      <w:pPr>
        <w:widowControl w:val="0"/>
        <w:spacing w:line="240" w:lineRule="auto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Eligibility Criteria:</w:t>
      </w:r>
    </w:p>
    <w:p w:rsidR="00B46FB0" w:rsidRDefault="00B46FB0">
      <w:pPr>
        <w:widowControl w:val="0"/>
        <w:spacing w:line="240" w:lineRule="auto"/>
        <w:ind w:left="720" w:firstLine="720"/>
        <w:jc w:val="both"/>
        <w:rPr>
          <w:b/>
          <w:sz w:val="24"/>
          <w:szCs w:val="24"/>
        </w:rPr>
      </w:pPr>
    </w:p>
    <w:p w:rsidR="00B46FB0" w:rsidRDefault="00A20586">
      <w:pPr>
        <w:widowControl w:val="0"/>
        <w:spacing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To apply, candidates must meet the following criteria:</w:t>
      </w:r>
    </w:p>
    <w:p w:rsidR="00B46FB0" w:rsidRDefault="00A2058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Age: 18-24 as of the day of the application</w:t>
      </w:r>
    </w:p>
    <w:p w:rsidR="00B46FB0" w:rsidRDefault="00A2058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Language: Be able to speak, write and read English and Chichewa </w:t>
      </w:r>
    </w:p>
    <w:p w:rsidR="00B46FB0" w:rsidRDefault="00A2058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Location: Any district of Malawi</w:t>
      </w:r>
    </w:p>
    <w:p w:rsidR="00B46FB0" w:rsidRDefault="00A2058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Characteristics: Any person aged 1</w:t>
      </w:r>
      <w:r>
        <w:rPr>
          <w:sz w:val="24"/>
          <w:szCs w:val="24"/>
        </w:rPr>
        <w:t xml:space="preserve">8-24 in all their diversity, </w:t>
      </w:r>
      <w:proofErr w:type="spellStart"/>
      <w:r>
        <w:rPr>
          <w:sz w:val="24"/>
          <w:szCs w:val="24"/>
        </w:rPr>
        <w:t>including,young</w:t>
      </w:r>
      <w:proofErr w:type="spellEnd"/>
      <w:r>
        <w:rPr>
          <w:sz w:val="24"/>
          <w:szCs w:val="24"/>
        </w:rPr>
        <w:t xml:space="preserve"> mother, young father, persons of diverse sexual orientation and/or gender identities, sex worker, migrant/refugee, survivor of obstetric fistula, person living with HIV, person living with a disability.</w:t>
      </w:r>
    </w:p>
    <w:p w:rsidR="00B46FB0" w:rsidRDefault="00A2058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Young en</w:t>
      </w:r>
      <w:r>
        <w:rPr>
          <w:sz w:val="24"/>
          <w:szCs w:val="24"/>
        </w:rPr>
        <w:t>trepreneurs and those working on environmental programmes will be considered.</w:t>
      </w:r>
    </w:p>
    <w:p w:rsidR="00B46FB0" w:rsidRDefault="00B46FB0">
      <w:pPr>
        <w:spacing w:line="240" w:lineRule="auto"/>
        <w:ind w:left="2160"/>
        <w:rPr>
          <w:sz w:val="24"/>
          <w:szCs w:val="24"/>
        </w:rPr>
      </w:pPr>
    </w:p>
    <w:p w:rsidR="00B46FB0" w:rsidRDefault="00B46FB0">
      <w:pPr>
        <w:widowControl w:val="0"/>
        <w:spacing w:line="240" w:lineRule="auto"/>
        <w:ind w:left="1440"/>
        <w:jc w:val="both"/>
        <w:rPr>
          <w:sz w:val="24"/>
          <w:szCs w:val="24"/>
        </w:rPr>
      </w:pPr>
    </w:p>
    <w:p w:rsidR="00B46FB0" w:rsidRDefault="00A20586">
      <w:pPr>
        <w:widowControl w:val="0"/>
        <w:spacing w:line="240" w:lineRule="auto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How to Apply:</w:t>
      </w:r>
    </w:p>
    <w:p w:rsidR="00B46FB0" w:rsidRDefault="00A20586">
      <w:pPr>
        <w:widowControl w:val="0"/>
        <w:spacing w:before="275" w:line="239" w:lineRule="auto"/>
        <w:ind w:left="1440"/>
        <w:jc w:val="both"/>
        <w:rPr>
          <w:sz w:val="24"/>
          <w:szCs w:val="24"/>
        </w:rPr>
      </w:pPr>
      <w:r>
        <w:rPr>
          <w:i/>
          <w:color w:val="202020"/>
          <w:sz w:val="24"/>
          <w:szCs w:val="24"/>
        </w:rPr>
        <w:t>All interested young people should submit a motivation letter expressing their interest (max 300 words</w:t>
      </w:r>
      <w:r>
        <w:rPr>
          <w:i/>
          <w:color w:val="202020"/>
          <w:sz w:val="24"/>
          <w:szCs w:val="24"/>
        </w:rPr>
        <w:t xml:space="preserve">) and a curriculum Vitae with at least two referees (maximum 2 pages) to the Adolescent and Youth Focal Person at UNFPA Malawi through </w:t>
      </w:r>
      <w:hyperlink r:id="rId8">
        <w:r>
          <w:rPr>
            <w:rFonts w:ascii="Roboto" w:eastAsia="Roboto" w:hAnsi="Roboto" w:cs="Roboto"/>
            <w:b/>
            <w:i/>
            <w:color w:val="1155CC"/>
            <w:sz w:val="26"/>
            <w:szCs w:val="26"/>
            <w:u w:val="single"/>
          </w:rPr>
          <w:t>myap</w:t>
        </w:r>
        <w:bookmarkStart w:id="0" w:name="_GoBack"/>
        <w:bookmarkEnd w:id="0"/>
        <w:r>
          <w:rPr>
            <w:rFonts w:ascii="Roboto" w:eastAsia="Roboto" w:hAnsi="Roboto" w:cs="Roboto"/>
            <w:b/>
            <w:i/>
            <w:color w:val="1155CC"/>
            <w:sz w:val="26"/>
            <w:szCs w:val="26"/>
            <w:u w:val="single"/>
          </w:rPr>
          <w:t>@unfpa.org</w:t>
        </w:r>
      </w:hyperlink>
      <w:r>
        <w:rPr>
          <w:rFonts w:ascii="Roboto" w:eastAsia="Roboto" w:hAnsi="Roboto" w:cs="Roboto"/>
          <w:b/>
          <w:i/>
          <w:color w:val="5E5E5E"/>
          <w:sz w:val="26"/>
          <w:szCs w:val="26"/>
        </w:rPr>
        <w:t xml:space="preserve"> </w:t>
      </w:r>
      <w:r>
        <w:rPr>
          <w:i/>
          <w:color w:val="202020"/>
          <w:sz w:val="24"/>
          <w:szCs w:val="24"/>
        </w:rPr>
        <w:t xml:space="preserve">not later than </w:t>
      </w:r>
      <w:r>
        <w:rPr>
          <w:b/>
          <w:i/>
          <w:color w:val="202020"/>
          <w:sz w:val="24"/>
          <w:szCs w:val="24"/>
        </w:rPr>
        <w:t xml:space="preserve">20 October 2013 </w:t>
      </w:r>
      <w:r>
        <w:rPr>
          <w:i/>
          <w:color w:val="202020"/>
          <w:sz w:val="24"/>
          <w:szCs w:val="24"/>
        </w:rPr>
        <w:t xml:space="preserve">at </w:t>
      </w:r>
      <w:r>
        <w:rPr>
          <w:b/>
          <w:i/>
          <w:color w:val="202020"/>
          <w:sz w:val="24"/>
          <w:szCs w:val="24"/>
        </w:rPr>
        <w:t xml:space="preserve">10:00 AM. </w:t>
      </w:r>
      <w:r>
        <w:rPr>
          <w:i/>
          <w:color w:val="202020"/>
          <w:sz w:val="24"/>
          <w:szCs w:val="24"/>
        </w:rPr>
        <w:t>Young</w:t>
      </w:r>
      <w:r>
        <w:rPr>
          <w:i/>
          <w:color w:val="202020"/>
          <w:sz w:val="24"/>
          <w:szCs w:val="24"/>
        </w:rPr>
        <w:t xml:space="preserve"> people within Malawi, those with disabilities, those living with HIV, in humanitarian situations and key populations are strongly encouraged to apply.</w:t>
      </w:r>
    </w:p>
    <w:p w:rsidR="00B46FB0" w:rsidRDefault="00B46FB0">
      <w:pPr>
        <w:widowControl w:val="0"/>
        <w:spacing w:line="240" w:lineRule="auto"/>
        <w:ind w:left="1440"/>
        <w:jc w:val="both"/>
        <w:rPr>
          <w:b/>
          <w:sz w:val="24"/>
          <w:szCs w:val="24"/>
        </w:rPr>
      </w:pPr>
    </w:p>
    <w:p w:rsidR="00B46FB0" w:rsidRDefault="00A20586">
      <w:pPr>
        <w:widowControl w:val="0"/>
        <w:spacing w:line="240" w:lineRule="auto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Join us in shaping a better future for Malawi's youth through the UNFPA Malawi Youth Advisory Panel!</w:t>
      </w:r>
    </w:p>
    <w:sectPr w:rsidR="00B46FB0">
      <w:headerReference w:type="default" r:id="rId9"/>
      <w:headerReference w:type="first" r:id="rId10"/>
      <w:footerReference w:type="first" r:id="rId11"/>
      <w:pgSz w:w="12240" w:h="15840"/>
      <w:pgMar w:top="720" w:right="1384" w:bottom="0" w:left="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586" w:rsidRDefault="00A20586">
      <w:pPr>
        <w:spacing w:line="240" w:lineRule="auto"/>
      </w:pPr>
      <w:r>
        <w:separator/>
      </w:r>
    </w:p>
  </w:endnote>
  <w:endnote w:type="continuationSeparator" w:id="0">
    <w:p w:rsidR="00A20586" w:rsidRDefault="00A20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B0" w:rsidRDefault="00B46F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586" w:rsidRDefault="00A20586">
      <w:pPr>
        <w:spacing w:line="240" w:lineRule="auto"/>
      </w:pPr>
      <w:r>
        <w:separator/>
      </w:r>
    </w:p>
  </w:footnote>
  <w:footnote w:type="continuationSeparator" w:id="0">
    <w:p w:rsidR="00A20586" w:rsidRDefault="00A20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B0" w:rsidRDefault="00A20586">
    <w:pPr>
      <w:jc w:val="right"/>
    </w:pPr>
    <w:r>
      <w:rPr>
        <w:noProof/>
      </w:rPr>
      <w:drawing>
        <wp:inline distT="114300" distB="114300" distL="114300" distR="114300">
          <wp:extent cx="1419225" cy="10572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8455" t="23557" r="31165" b="23076"/>
                  <a:stretch>
                    <a:fillRect/>
                  </a:stretch>
                </pic:blipFill>
                <pic:spPr>
                  <a:xfrm>
                    <a:off x="0" y="0"/>
                    <a:ext cx="1419225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5848350</wp:posOffset>
          </wp:positionH>
          <wp:positionV relativeFrom="paragraph">
            <wp:posOffset>276225</wp:posOffset>
          </wp:positionV>
          <wp:extent cx="1258038" cy="5762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8038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B0" w:rsidRDefault="00B46F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063C2"/>
    <w:multiLevelType w:val="multilevel"/>
    <w:tmpl w:val="B8BE082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3373906"/>
    <w:multiLevelType w:val="multilevel"/>
    <w:tmpl w:val="BAFE48C4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985041"/>
    <w:multiLevelType w:val="multilevel"/>
    <w:tmpl w:val="1E6A0C7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FB0"/>
    <w:rsid w:val="00A20586"/>
    <w:rsid w:val="00B46FB0"/>
    <w:rsid w:val="00B6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6D3A"/>
  <w15:docId w15:val="{763F8D05-939F-4A21-BA88-41099794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MW" w:eastAsia="en-M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ap-noreply@unfp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UNFPA</dc:creator>
  <cp:lastModifiedBy>UNFPA</cp:lastModifiedBy>
  <cp:revision>2</cp:revision>
  <dcterms:created xsi:type="dcterms:W3CDTF">2023-09-28T08:12:00Z</dcterms:created>
  <dcterms:modified xsi:type="dcterms:W3CDTF">2023-09-28T08:12:00Z</dcterms:modified>
</cp:coreProperties>
</file>